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0EB5" w:rsidRPr="00CC3582" w:rsidRDefault="00490EB5" w:rsidP="00490EB5">
      <w:pPr>
        <w:spacing w:before="340" w:after="340"/>
        <w:ind w:firstLine="567"/>
        <w:jc w:val="center"/>
        <w:rPr>
          <w:rFonts w:ascii="Arial" w:eastAsia="Times New Roman" w:hAnsi="Arial" w:cs="Arial"/>
          <w:b/>
          <w:sz w:val="24"/>
          <w:szCs w:val="24"/>
          <w:shd w:val="clear" w:color="auto" w:fill="FFFFFF"/>
          <w:lang w:val="en-US"/>
        </w:rPr>
      </w:pPr>
      <w:bookmarkStart w:id="0" w:name="_GoBack"/>
      <w:r w:rsidRPr="00CC3582">
        <w:rPr>
          <w:rFonts w:ascii="Arial" w:eastAsia="Times New Roman" w:hAnsi="Arial" w:cs="Arial"/>
          <w:b/>
          <w:sz w:val="24"/>
          <w:szCs w:val="24"/>
          <w:shd w:val="clear" w:color="auto" w:fill="FFFFFF"/>
          <w:lang w:val="en-US"/>
        </w:rPr>
        <w:t xml:space="preserve">Why has VNIIUS refused </w:t>
      </w:r>
      <w:bookmarkEnd w:id="0"/>
      <w:r w:rsidRPr="00CC3582">
        <w:rPr>
          <w:rFonts w:ascii="Arial" w:eastAsia="Times New Roman" w:hAnsi="Arial" w:cs="Arial"/>
          <w:b/>
          <w:sz w:val="24"/>
          <w:szCs w:val="24"/>
          <w:shd w:val="clear" w:color="auto" w:fill="FFFFFF"/>
          <w:lang w:val="en-US"/>
        </w:rPr>
        <w:t>to use heterogeneous catalysts of KS</w:t>
      </w:r>
      <w:r>
        <w:rPr>
          <w:rFonts w:ascii="Arial" w:eastAsia="Times New Roman" w:hAnsi="Arial" w:cs="Arial"/>
          <w:b/>
          <w:sz w:val="24"/>
          <w:szCs w:val="24"/>
          <w:shd w:val="clear" w:color="auto" w:fill="FFFFFF"/>
          <w:lang w:val="en-US"/>
        </w:rPr>
        <w:t xml:space="preserve"> and</w:t>
      </w:r>
      <w:r w:rsidRPr="00CC3582">
        <w:rPr>
          <w:rFonts w:ascii="Arial" w:eastAsia="Times New Roman" w:hAnsi="Arial" w:cs="Arial"/>
          <w:b/>
          <w:sz w:val="24"/>
          <w:szCs w:val="24"/>
          <w:shd w:val="clear" w:color="auto" w:fill="FFFFFF"/>
          <w:lang w:val="en-US"/>
        </w:rPr>
        <w:t xml:space="preserve"> KSM types?</w:t>
      </w:r>
    </w:p>
    <w:p w:rsidR="00490EB5" w:rsidRPr="00CC3582" w:rsidRDefault="00490EB5" w:rsidP="00490EB5">
      <w:pPr>
        <w:spacing w:before="340" w:after="340"/>
        <w:ind w:firstLine="567"/>
        <w:jc w:val="both"/>
        <w:rPr>
          <w:rFonts w:ascii="Arial" w:eastAsia="Times New Roman" w:hAnsi="Arial" w:cs="Arial"/>
          <w:sz w:val="24"/>
          <w:szCs w:val="24"/>
          <w:shd w:val="clear" w:color="auto" w:fill="FFFFFF"/>
          <w:lang w:val="en-US"/>
        </w:rPr>
      </w:pPr>
      <w:r w:rsidRPr="00CC3582">
        <w:rPr>
          <w:rFonts w:ascii="Arial" w:eastAsia="Times New Roman" w:hAnsi="Arial" w:cs="Arial"/>
          <w:sz w:val="24"/>
          <w:szCs w:val="24"/>
          <w:shd w:val="clear" w:color="auto" w:fill="FFFFFF"/>
          <w:lang w:val="en-US"/>
        </w:rPr>
        <w:t xml:space="preserve">Two types of catalysts - homogeneous and heterogeneous - are used for processes of hydrocarbon feed </w:t>
      </w:r>
      <w:proofErr w:type="spellStart"/>
      <w:r w:rsidRPr="00CC3582">
        <w:rPr>
          <w:rFonts w:ascii="Arial" w:eastAsia="Times New Roman" w:hAnsi="Arial" w:cs="Arial"/>
          <w:sz w:val="24"/>
          <w:szCs w:val="24"/>
          <w:shd w:val="clear" w:color="auto" w:fill="FFFFFF"/>
          <w:lang w:val="en-US"/>
        </w:rPr>
        <w:t>demercaptanization</w:t>
      </w:r>
      <w:proofErr w:type="spellEnd"/>
      <w:r>
        <w:rPr>
          <w:rFonts w:ascii="Arial" w:eastAsia="Times New Roman" w:hAnsi="Arial" w:cs="Arial"/>
          <w:sz w:val="24"/>
          <w:szCs w:val="24"/>
          <w:shd w:val="clear" w:color="auto" w:fill="FFFFFF"/>
          <w:lang w:val="en-US"/>
        </w:rPr>
        <w:t xml:space="preserve"> and sulfide-alkali waste water</w:t>
      </w:r>
      <w:r w:rsidRPr="00CC3582">
        <w:rPr>
          <w:rFonts w:ascii="Arial" w:eastAsia="Times New Roman" w:hAnsi="Arial" w:cs="Arial"/>
          <w:sz w:val="24"/>
          <w:szCs w:val="24"/>
          <w:shd w:val="clear" w:color="auto" w:fill="FFFFFF"/>
          <w:lang w:val="en-US"/>
        </w:rPr>
        <w:t xml:space="preserve"> treating.</w:t>
      </w:r>
    </w:p>
    <w:p w:rsidR="00490EB5" w:rsidRPr="00CC3582" w:rsidRDefault="00490EB5" w:rsidP="00490EB5">
      <w:pPr>
        <w:spacing w:after="326"/>
        <w:ind w:firstLine="567"/>
        <w:jc w:val="both"/>
        <w:rPr>
          <w:rFonts w:ascii="Arial" w:eastAsia="Times New Roman" w:hAnsi="Arial" w:cs="Arial"/>
          <w:sz w:val="24"/>
          <w:szCs w:val="24"/>
          <w:shd w:val="clear" w:color="auto" w:fill="FFFFFF"/>
          <w:lang w:val="en-US"/>
        </w:rPr>
      </w:pPr>
      <w:r w:rsidRPr="00CC3582">
        <w:rPr>
          <w:rFonts w:ascii="Arial" w:eastAsia="Times New Roman" w:hAnsi="Arial" w:cs="Arial"/>
          <w:sz w:val="24"/>
          <w:szCs w:val="24"/>
          <w:shd w:val="clear" w:color="auto" w:fill="FFFFFF"/>
          <w:lang w:val="en-US"/>
        </w:rPr>
        <w:t xml:space="preserve">Both of the catalysts, homogeneous and heterogeneous, contain a catalytically active component - cobalt </w:t>
      </w:r>
      <w:proofErr w:type="spellStart"/>
      <w:r w:rsidRPr="00CC3582">
        <w:rPr>
          <w:rFonts w:ascii="Arial" w:eastAsia="Times New Roman" w:hAnsi="Arial" w:cs="Arial"/>
          <w:sz w:val="24"/>
          <w:szCs w:val="24"/>
          <w:shd w:val="clear" w:color="auto" w:fill="FFFFFF"/>
          <w:lang w:val="en-US"/>
        </w:rPr>
        <w:t>phthalocyanine</w:t>
      </w:r>
      <w:proofErr w:type="spellEnd"/>
      <w:r w:rsidRPr="00CC3582">
        <w:rPr>
          <w:rFonts w:ascii="Arial" w:eastAsia="Times New Roman" w:hAnsi="Arial" w:cs="Arial"/>
          <w:sz w:val="24"/>
          <w:szCs w:val="24"/>
          <w:shd w:val="clear" w:color="auto" w:fill="FFFFFF"/>
          <w:lang w:val="en-US"/>
        </w:rPr>
        <w:t xml:space="preserve"> - acting as an oxygen carrier.</w:t>
      </w:r>
    </w:p>
    <w:p w:rsidR="00490EB5" w:rsidRPr="00CC3582" w:rsidRDefault="00490EB5" w:rsidP="00490EB5">
      <w:pPr>
        <w:spacing w:after="160" w:line="259" w:lineRule="auto"/>
        <w:ind w:firstLine="567"/>
        <w:jc w:val="center"/>
        <w:rPr>
          <w:rFonts w:ascii="Arial" w:eastAsia="Times New Roman" w:hAnsi="Arial" w:cs="Arial"/>
          <w:sz w:val="24"/>
          <w:szCs w:val="24"/>
        </w:rPr>
      </w:pPr>
      <w:r w:rsidRPr="00CC3582">
        <w:rPr>
          <w:rFonts w:ascii="Arial" w:hAnsi="Arial" w:cs="Arial"/>
          <w:sz w:val="24"/>
          <w:szCs w:val="24"/>
        </w:rPr>
        <w:object w:dxaOrig="3968" w:dyaOrig="5041">
          <v:rect id="rectole0000000000" o:spid="_x0000_i1025" style="width:199pt;height:252pt" o:ole="" o:preferrelative="t" stroked="f">
            <v:imagedata r:id="rId6" o:title=""/>
          </v:rect>
          <o:OLEObject Type="Embed" ProgID="StaticMetafile" ShapeID="rectole0000000000" DrawAspect="Content" ObjectID="_1637573161" r:id="rId7"/>
        </w:object>
      </w:r>
    </w:p>
    <w:p w:rsidR="00490EB5" w:rsidRPr="00CC3582" w:rsidRDefault="00490EB5" w:rsidP="00490EB5">
      <w:pPr>
        <w:spacing w:after="160" w:line="259" w:lineRule="auto"/>
        <w:ind w:firstLine="567"/>
        <w:jc w:val="both"/>
        <w:rPr>
          <w:rFonts w:ascii="Arial" w:eastAsia="Times New Roman" w:hAnsi="Arial" w:cs="Arial"/>
          <w:sz w:val="24"/>
          <w:szCs w:val="24"/>
          <w:lang w:val="en-US"/>
        </w:rPr>
      </w:pPr>
      <w:r w:rsidRPr="00CC3582">
        <w:rPr>
          <w:rFonts w:ascii="Arial" w:eastAsia="Times New Roman" w:hAnsi="Arial" w:cs="Arial"/>
          <w:sz w:val="24"/>
          <w:szCs w:val="24"/>
          <w:lang w:val="en-US"/>
        </w:rPr>
        <w:t xml:space="preserve">Homogeneous IVKAZ catalyst is the most active and stable industrial catalyst. For kerosene and diesel fuel treating IVKAZ catalyst applied on activated carbon of AG-3 or AG-5 </w:t>
      </w:r>
      <w:r>
        <w:rPr>
          <w:rFonts w:ascii="Arial" w:eastAsia="Times New Roman" w:hAnsi="Arial" w:cs="Arial"/>
          <w:sz w:val="24"/>
          <w:szCs w:val="24"/>
          <w:lang w:val="en-US"/>
        </w:rPr>
        <w:t>grades</w:t>
      </w:r>
      <w:r w:rsidRPr="00CC3582">
        <w:rPr>
          <w:rFonts w:ascii="Arial" w:eastAsia="Times New Roman" w:hAnsi="Arial" w:cs="Arial"/>
          <w:sz w:val="24"/>
          <w:szCs w:val="24"/>
          <w:lang w:val="en-US"/>
        </w:rPr>
        <w:t xml:space="preserve"> is used.</w:t>
      </w:r>
    </w:p>
    <w:p w:rsidR="00490EB5" w:rsidRPr="00CC3582" w:rsidRDefault="00490EB5" w:rsidP="00490EB5">
      <w:pPr>
        <w:spacing w:after="160" w:line="259" w:lineRule="auto"/>
        <w:ind w:firstLine="567"/>
        <w:jc w:val="both"/>
        <w:rPr>
          <w:rFonts w:ascii="Arial" w:eastAsia="Times New Roman" w:hAnsi="Arial" w:cs="Arial"/>
          <w:sz w:val="24"/>
          <w:szCs w:val="24"/>
          <w:lang w:val="en-US"/>
        </w:rPr>
      </w:pPr>
      <w:r w:rsidRPr="00CC3582">
        <w:rPr>
          <w:rFonts w:ascii="Arial" w:eastAsia="Times New Roman" w:hAnsi="Arial" w:cs="Arial"/>
          <w:b/>
          <w:sz w:val="24"/>
          <w:szCs w:val="24"/>
          <w:lang w:val="en-US"/>
        </w:rPr>
        <w:t xml:space="preserve">Heterogeneous catalysts of KS type </w:t>
      </w:r>
      <w:r w:rsidRPr="00CC3582">
        <w:rPr>
          <w:rFonts w:ascii="Arial" w:eastAsia="Times New Roman" w:hAnsi="Arial" w:cs="Arial"/>
          <w:sz w:val="24"/>
          <w:szCs w:val="24"/>
          <w:lang w:val="en-US"/>
        </w:rPr>
        <w:t xml:space="preserve">were developed in VNIIUS in 1983 [1]. They are water-insoluble cobalt </w:t>
      </w:r>
      <w:proofErr w:type="spellStart"/>
      <w:r w:rsidRPr="00CC3582">
        <w:rPr>
          <w:rFonts w:ascii="Arial" w:eastAsia="Times New Roman" w:hAnsi="Arial" w:cs="Arial"/>
          <w:sz w:val="24"/>
          <w:szCs w:val="24"/>
          <w:lang w:val="en-US"/>
        </w:rPr>
        <w:t>phthalocyanine</w:t>
      </w:r>
      <w:proofErr w:type="spellEnd"/>
      <w:r w:rsidRPr="00CC3582">
        <w:rPr>
          <w:rFonts w:ascii="Arial" w:eastAsia="Times New Roman" w:hAnsi="Arial" w:cs="Arial"/>
          <w:sz w:val="24"/>
          <w:szCs w:val="24"/>
          <w:lang w:val="en-US"/>
        </w:rPr>
        <w:t xml:space="preserve"> (up to 20 % mass) in polymer mass (polyethylene or polypropylene). Catalysts of KS and KSM types are used as packing elements of Pall, </w:t>
      </w:r>
      <w:proofErr w:type="spellStart"/>
      <w:r w:rsidRPr="00CC3582">
        <w:rPr>
          <w:rFonts w:ascii="Arial" w:eastAsia="Times New Roman" w:hAnsi="Arial" w:cs="Arial"/>
          <w:sz w:val="24"/>
          <w:szCs w:val="24"/>
          <w:lang w:val="en-US"/>
        </w:rPr>
        <w:t>Rashig</w:t>
      </w:r>
      <w:proofErr w:type="spellEnd"/>
      <w:r w:rsidRPr="00CC3582">
        <w:rPr>
          <w:rFonts w:ascii="Arial" w:eastAsia="Times New Roman" w:hAnsi="Arial" w:cs="Arial"/>
          <w:sz w:val="24"/>
          <w:szCs w:val="24"/>
          <w:lang w:val="en-US"/>
        </w:rPr>
        <w:t xml:space="preserve"> rings types, etc. An advantage of the heterogeneous catalyst is ease of a plant operation because </w:t>
      </w:r>
      <w:r>
        <w:rPr>
          <w:rFonts w:ascii="Arial" w:eastAsia="Times New Roman" w:hAnsi="Arial" w:cs="Arial"/>
          <w:sz w:val="24"/>
          <w:szCs w:val="24"/>
          <w:lang w:val="en-US"/>
        </w:rPr>
        <w:t>procedures of catalyst solution</w:t>
      </w:r>
      <w:r w:rsidRPr="00CC3582">
        <w:rPr>
          <w:rFonts w:ascii="Arial" w:eastAsia="Times New Roman" w:hAnsi="Arial" w:cs="Arial"/>
          <w:sz w:val="24"/>
          <w:szCs w:val="24"/>
          <w:lang w:val="en-US"/>
        </w:rPr>
        <w:t xml:space="preserve"> preparation and </w:t>
      </w:r>
      <w:r>
        <w:rPr>
          <w:rFonts w:ascii="Arial" w:eastAsia="Times New Roman" w:hAnsi="Arial" w:cs="Arial"/>
          <w:sz w:val="24"/>
          <w:szCs w:val="24"/>
          <w:lang w:val="en-US"/>
        </w:rPr>
        <w:t>its</w:t>
      </w:r>
      <w:r w:rsidRPr="00CC3582">
        <w:rPr>
          <w:rFonts w:ascii="Arial" w:eastAsia="Times New Roman" w:hAnsi="Arial" w:cs="Arial"/>
          <w:sz w:val="24"/>
          <w:szCs w:val="24"/>
          <w:lang w:val="en-US"/>
        </w:rPr>
        <w:t xml:space="preserve"> dosing into the s</w:t>
      </w:r>
      <w:r>
        <w:rPr>
          <w:rFonts w:ascii="Arial" w:eastAsia="Times New Roman" w:hAnsi="Arial" w:cs="Arial"/>
          <w:sz w:val="24"/>
          <w:szCs w:val="24"/>
          <w:lang w:val="en-US"/>
        </w:rPr>
        <w:t>ystem are excluded. However JS “</w:t>
      </w:r>
      <w:r w:rsidRPr="00CC3582">
        <w:rPr>
          <w:rFonts w:ascii="Arial" w:eastAsia="Times New Roman" w:hAnsi="Arial" w:cs="Arial"/>
          <w:sz w:val="24"/>
          <w:szCs w:val="24"/>
          <w:lang w:val="en-US"/>
        </w:rPr>
        <w:t>VNIIUS</w:t>
      </w:r>
      <w:r>
        <w:rPr>
          <w:rFonts w:ascii="Arial" w:eastAsia="Times New Roman" w:hAnsi="Arial" w:cs="Arial"/>
          <w:sz w:val="24"/>
          <w:szCs w:val="24"/>
          <w:lang w:val="en-US"/>
        </w:rPr>
        <w:t xml:space="preserve">” </w:t>
      </w:r>
      <w:r w:rsidRPr="00CC3582">
        <w:rPr>
          <w:rFonts w:ascii="Arial" w:eastAsia="Times New Roman" w:hAnsi="Arial" w:cs="Arial"/>
          <w:sz w:val="24"/>
          <w:szCs w:val="24"/>
          <w:lang w:val="en-US"/>
        </w:rPr>
        <w:t>refused to use heterogeneous catalyst of KS and KSM types in DMD an</w:t>
      </w:r>
      <w:r>
        <w:rPr>
          <w:rFonts w:ascii="Arial" w:eastAsia="Times New Roman" w:hAnsi="Arial" w:cs="Arial"/>
          <w:sz w:val="24"/>
          <w:szCs w:val="24"/>
          <w:lang w:val="en-US"/>
        </w:rPr>
        <w:t xml:space="preserve">d </w:t>
      </w:r>
      <w:proofErr w:type="spellStart"/>
      <w:r>
        <w:rPr>
          <w:rFonts w:ascii="Arial" w:eastAsia="Times New Roman" w:hAnsi="Arial" w:cs="Arial"/>
          <w:sz w:val="24"/>
          <w:szCs w:val="24"/>
          <w:lang w:val="en-US"/>
        </w:rPr>
        <w:t>Serox</w:t>
      </w:r>
      <w:proofErr w:type="spellEnd"/>
      <w:r>
        <w:rPr>
          <w:rFonts w:ascii="Arial" w:eastAsia="Times New Roman" w:hAnsi="Arial" w:cs="Arial"/>
          <w:sz w:val="24"/>
          <w:szCs w:val="24"/>
          <w:lang w:val="en-US"/>
        </w:rPr>
        <w:t xml:space="preserve"> processes because of their</w:t>
      </w:r>
      <w:r w:rsidRPr="00CC3582">
        <w:rPr>
          <w:rFonts w:ascii="Arial" w:eastAsia="Times New Roman" w:hAnsi="Arial" w:cs="Arial"/>
          <w:sz w:val="24"/>
          <w:szCs w:val="24"/>
          <w:lang w:val="en-US"/>
        </w:rPr>
        <w:t xml:space="preserve"> low activity.</w:t>
      </w:r>
    </w:p>
    <w:p w:rsidR="00490EB5" w:rsidRPr="00CC3582" w:rsidRDefault="00490EB5" w:rsidP="00490EB5">
      <w:pPr>
        <w:spacing w:after="160" w:line="259" w:lineRule="auto"/>
        <w:ind w:firstLine="567"/>
        <w:jc w:val="both"/>
        <w:rPr>
          <w:rFonts w:ascii="Arial" w:eastAsia="Times New Roman" w:hAnsi="Arial" w:cs="Arial"/>
          <w:sz w:val="24"/>
          <w:szCs w:val="24"/>
          <w:lang w:val="en-US"/>
        </w:rPr>
      </w:pPr>
      <w:r w:rsidRPr="00CC3582">
        <w:rPr>
          <w:rFonts w:ascii="Arial" w:eastAsia="Times New Roman" w:hAnsi="Arial" w:cs="Arial"/>
          <w:sz w:val="24"/>
          <w:szCs w:val="24"/>
          <w:lang w:val="en-US"/>
        </w:rPr>
        <w:t xml:space="preserve">Catalysts of KS and KSM types are prepared by mixing cobalt </w:t>
      </w:r>
      <w:proofErr w:type="spellStart"/>
      <w:r w:rsidRPr="00CC3582">
        <w:rPr>
          <w:rFonts w:ascii="Arial" w:eastAsia="Times New Roman" w:hAnsi="Arial" w:cs="Arial"/>
          <w:sz w:val="24"/>
          <w:szCs w:val="24"/>
          <w:lang w:val="en-US"/>
        </w:rPr>
        <w:t>phthalocyanine</w:t>
      </w:r>
      <w:proofErr w:type="spellEnd"/>
      <w:r w:rsidRPr="00CC3582">
        <w:rPr>
          <w:rFonts w:ascii="Arial" w:eastAsia="Times New Roman" w:hAnsi="Arial" w:cs="Arial"/>
          <w:sz w:val="24"/>
          <w:szCs w:val="24"/>
          <w:lang w:val="en-US"/>
        </w:rPr>
        <w:t xml:space="preserve"> powder with melted polymer. Therefore, only those cobalt </w:t>
      </w:r>
      <w:proofErr w:type="spellStart"/>
      <w:r w:rsidRPr="00CC3582">
        <w:rPr>
          <w:rFonts w:ascii="Arial" w:eastAsia="Times New Roman" w:hAnsi="Arial" w:cs="Arial"/>
          <w:sz w:val="24"/>
          <w:szCs w:val="24"/>
          <w:lang w:val="en-US"/>
        </w:rPr>
        <w:t>phthalocyanine</w:t>
      </w:r>
      <w:proofErr w:type="spellEnd"/>
      <w:r w:rsidRPr="00CC3582">
        <w:rPr>
          <w:rFonts w:ascii="Arial" w:eastAsia="Times New Roman" w:hAnsi="Arial" w:cs="Arial"/>
          <w:sz w:val="24"/>
          <w:szCs w:val="24"/>
          <w:lang w:val="en-US"/>
        </w:rPr>
        <w:t xml:space="preserve"> molecules take part in catalysis which</w:t>
      </w:r>
      <w:r w:rsidRPr="00164B38">
        <w:rPr>
          <w:rFonts w:ascii="Arial" w:eastAsia="Times New Roman" w:hAnsi="Arial" w:cs="Arial"/>
          <w:sz w:val="24"/>
          <w:szCs w:val="24"/>
          <w:lang w:val="en-US"/>
        </w:rPr>
        <w:t xml:space="preserve"> </w:t>
      </w:r>
      <w:proofErr w:type="gramStart"/>
      <w:r w:rsidRPr="00CC3582">
        <w:rPr>
          <w:rFonts w:ascii="Arial" w:eastAsia="Times New Roman" w:hAnsi="Arial" w:cs="Arial"/>
          <w:sz w:val="24"/>
          <w:szCs w:val="24"/>
          <w:lang w:val="en-US"/>
        </w:rPr>
        <w:t>are</w:t>
      </w:r>
      <w:proofErr w:type="gramEnd"/>
      <w:r w:rsidRPr="00CC3582">
        <w:rPr>
          <w:rFonts w:ascii="Arial" w:eastAsia="Times New Roman" w:hAnsi="Arial" w:cs="Arial"/>
          <w:sz w:val="24"/>
          <w:szCs w:val="24"/>
          <w:lang w:val="en-US"/>
        </w:rPr>
        <w:t xml:space="preserve"> located on the polymer surface. Base quantity of cobalt </w:t>
      </w:r>
      <w:proofErr w:type="spellStart"/>
      <w:r w:rsidRPr="00CC3582">
        <w:rPr>
          <w:rFonts w:ascii="Arial" w:eastAsia="Times New Roman" w:hAnsi="Arial" w:cs="Arial"/>
          <w:sz w:val="24"/>
          <w:szCs w:val="24"/>
          <w:lang w:val="en-US"/>
        </w:rPr>
        <w:t>phthalocyanine</w:t>
      </w:r>
      <w:proofErr w:type="spellEnd"/>
      <w:r w:rsidRPr="00CC3582">
        <w:rPr>
          <w:rFonts w:ascii="Arial" w:eastAsia="Times New Roman" w:hAnsi="Arial" w:cs="Arial"/>
          <w:sz w:val="24"/>
          <w:szCs w:val="24"/>
          <w:lang w:val="en-US"/>
        </w:rPr>
        <w:t xml:space="preserve"> is in the polymer mass (non-porous) and does not react in the catalysis. Accordingly specific catalytic activity of heterogeneous KSM catalyst is many times lower than that of homogeneous IVKAZ catalyst. Hence, a volume of a regenerator with a heterogeneous catalyst should be 1.8-2 times larger as compared to a volume of a regenerator with a homogeneous catalyst.</w:t>
      </w:r>
    </w:p>
    <w:p w:rsidR="00490EB5" w:rsidRPr="00CC3582" w:rsidRDefault="00490EB5" w:rsidP="00490EB5">
      <w:pPr>
        <w:spacing w:after="160" w:line="259" w:lineRule="auto"/>
        <w:ind w:firstLine="567"/>
        <w:jc w:val="both"/>
        <w:rPr>
          <w:rFonts w:ascii="Arial" w:eastAsia="Times New Roman" w:hAnsi="Arial" w:cs="Arial"/>
          <w:sz w:val="24"/>
          <w:szCs w:val="24"/>
          <w:lang w:val="en-US"/>
        </w:rPr>
      </w:pPr>
      <w:r w:rsidRPr="00CC3582">
        <w:rPr>
          <w:rFonts w:ascii="Arial" w:eastAsia="Times New Roman" w:hAnsi="Arial" w:cs="Arial"/>
          <w:sz w:val="24"/>
          <w:szCs w:val="24"/>
          <w:lang w:val="en-US"/>
        </w:rPr>
        <w:lastRenderedPageBreak/>
        <w:t xml:space="preserve">Because of low activity of KSM catalyst </w:t>
      </w:r>
      <w:r>
        <w:rPr>
          <w:rFonts w:ascii="Arial" w:eastAsia="Times New Roman" w:hAnsi="Arial" w:cs="Arial"/>
          <w:sz w:val="24"/>
          <w:szCs w:val="24"/>
          <w:lang w:val="en-US"/>
        </w:rPr>
        <w:t xml:space="preserve">the </w:t>
      </w:r>
      <w:r w:rsidRPr="00CC3582">
        <w:rPr>
          <w:rFonts w:ascii="Arial" w:eastAsia="Times New Roman" w:hAnsi="Arial" w:cs="Arial"/>
          <w:sz w:val="24"/>
          <w:szCs w:val="24"/>
          <w:lang w:val="en-US"/>
        </w:rPr>
        <w:t>temperature in a regenerator should be 70-80</w:t>
      </w:r>
      <w:r w:rsidRPr="00CC3582">
        <w:rPr>
          <w:rFonts w:ascii="Arial" w:eastAsia="Arial" w:hAnsi="Arial" w:cs="Arial"/>
          <w:sz w:val="24"/>
          <w:szCs w:val="24"/>
          <w:lang w:val="en-US"/>
        </w:rPr>
        <w:t>°</w:t>
      </w:r>
      <w:r w:rsidRPr="00CC3582">
        <w:rPr>
          <w:rFonts w:ascii="Arial" w:eastAsia="Times New Roman" w:hAnsi="Arial" w:cs="Arial"/>
          <w:sz w:val="24"/>
          <w:szCs w:val="24"/>
        </w:rPr>
        <w:t>С</w:t>
      </w:r>
      <w:r w:rsidRPr="00CC3582">
        <w:rPr>
          <w:rFonts w:ascii="Arial" w:eastAsia="Times New Roman" w:hAnsi="Arial" w:cs="Arial"/>
          <w:sz w:val="24"/>
          <w:szCs w:val="24"/>
          <w:lang w:val="en-US"/>
        </w:rPr>
        <w:t xml:space="preserve"> that requires higher heat input as compared to homogeneous IVKAZ catalyst</w:t>
      </w:r>
      <w:r>
        <w:rPr>
          <w:rFonts w:ascii="Arial" w:eastAsia="Times New Roman" w:hAnsi="Arial" w:cs="Arial"/>
          <w:sz w:val="24"/>
          <w:szCs w:val="24"/>
          <w:lang w:val="en-US"/>
        </w:rPr>
        <w:t>,</w:t>
      </w:r>
      <w:r w:rsidRPr="00CC3582">
        <w:rPr>
          <w:rFonts w:ascii="Arial" w:eastAsia="Times New Roman" w:hAnsi="Arial" w:cs="Arial"/>
          <w:sz w:val="24"/>
          <w:szCs w:val="24"/>
          <w:lang w:val="en-US"/>
        </w:rPr>
        <w:t xml:space="preserve"> where the temperature is 40-48</w:t>
      </w:r>
      <w:r w:rsidRPr="00CC3582">
        <w:rPr>
          <w:rFonts w:ascii="Arial" w:eastAsia="Arial" w:hAnsi="Arial" w:cs="Arial"/>
          <w:sz w:val="24"/>
          <w:szCs w:val="24"/>
          <w:lang w:val="en-US"/>
        </w:rPr>
        <w:t>°</w:t>
      </w:r>
      <w:r w:rsidRPr="00CC3582">
        <w:rPr>
          <w:rFonts w:ascii="Arial" w:eastAsia="Times New Roman" w:hAnsi="Arial" w:cs="Arial"/>
          <w:sz w:val="24"/>
          <w:szCs w:val="24"/>
        </w:rPr>
        <w:t>С</w:t>
      </w:r>
      <w:r w:rsidRPr="00CC3582">
        <w:rPr>
          <w:rFonts w:ascii="Arial" w:eastAsia="Times New Roman" w:hAnsi="Arial" w:cs="Arial"/>
          <w:sz w:val="24"/>
          <w:szCs w:val="24"/>
          <w:lang w:val="en-US"/>
        </w:rPr>
        <w:t>.</w:t>
      </w:r>
    </w:p>
    <w:p w:rsidR="00490EB5" w:rsidRPr="00CC3582" w:rsidRDefault="00490EB5" w:rsidP="00490EB5">
      <w:pPr>
        <w:spacing w:after="160" w:line="259" w:lineRule="auto"/>
        <w:ind w:firstLine="567"/>
        <w:jc w:val="both"/>
        <w:rPr>
          <w:rFonts w:ascii="Arial" w:eastAsia="Times New Roman" w:hAnsi="Arial" w:cs="Arial"/>
          <w:sz w:val="24"/>
          <w:szCs w:val="24"/>
          <w:lang w:val="en-US"/>
        </w:rPr>
      </w:pPr>
      <w:r w:rsidRPr="00CC3582">
        <w:rPr>
          <w:rFonts w:ascii="Arial" w:eastAsia="Times New Roman" w:hAnsi="Arial" w:cs="Arial"/>
          <w:sz w:val="24"/>
          <w:szCs w:val="24"/>
          <w:lang w:val="en-US"/>
        </w:rPr>
        <w:t xml:space="preserve">In a case when </w:t>
      </w:r>
      <w:proofErr w:type="spellStart"/>
      <w:r w:rsidRPr="00CC3582">
        <w:rPr>
          <w:rFonts w:ascii="Arial" w:eastAsia="Times New Roman" w:hAnsi="Arial" w:cs="Arial"/>
          <w:sz w:val="24"/>
          <w:szCs w:val="24"/>
          <w:lang w:val="en-US"/>
        </w:rPr>
        <w:t>mercaptan</w:t>
      </w:r>
      <w:proofErr w:type="spellEnd"/>
      <w:r w:rsidRPr="00CC3582">
        <w:rPr>
          <w:rFonts w:ascii="Arial" w:eastAsia="Times New Roman" w:hAnsi="Arial" w:cs="Arial"/>
          <w:sz w:val="24"/>
          <w:szCs w:val="24"/>
          <w:lang w:val="en-US"/>
        </w:rPr>
        <w:t xml:space="preserve"> content in the feed exceeds a design value the reactor with a heterogeneous catalyst cannot provide a required degree of alkali regeneration, and therefore a degree of feed treatment. If in a case of homogeneous catalysis this problem is solved by simple increase of catalyst concentration in the alkaline solution, then in a case of heterogeneous catalyst the regenerator should be replaced with a device of a larger volume. Besides, the slightest contamination of KSM catalyst surface results in complete loss of its activity that </w:t>
      </w:r>
      <w:r>
        <w:rPr>
          <w:rFonts w:ascii="Arial" w:eastAsia="Times New Roman" w:hAnsi="Arial" w:cs="Arial"/>
          <w:sz w:val="24"/>
          <w:szCs w:val="24"/>
          <w:lang w:val="en-US"/>
        </w:rPr>
        <w:t>took place</w:t>
      </w:r>
      <w:r w:rsidRPr="00CC3582">
        <w:rPr>
          <w:rFonts w:ascii="Arial" w:eastAsia="Times New Roman" w:hAnsi="Arial" w:cs="Arial"/>
          <w:sz w:val="24"/>
          <w:szCs w:val="24"/>
          <w:lang w:val="en-US"/>
        </w:rPr>
        <w:t xml:space="preserve"> on Omsk, Yaroslavl refineries and </w:t>
      </w:r>
      <w:proofErr w:type="spellStart"/>
      <w:r w:rsidRPr="00CC3582">
        <w:rPr>
          <w:rFonts w:ascii="Arial" w:eastAsia="Times New Roman" w:hAnsi="Arial" w:cs="Arial"/>
          <w:sz w:val="24"/>
          <w:szCs w:val="24"/>
          <w:lang w:val="en-US"/>
        </w:rPr>
        <w:t>Novokuibyshev</w:t>
      </w:r>
      <w:r w:rsidRPr="00CC3582">
        <w:rPr>
          <w:rFonts w:ascii="Arial" w:eastAsia="Times New Roman" w:hAnsi="Arial" w:cs="Arial"/>
          <w:sz w:val="24"/>
          <w:szCs w:val="24"/>
          <w:lang w:val="en-GB"/>
        </w:rPr>
        <w:t>sk</w:t>
      </w:r>
      <w:proofErr w:type="spellEnd"/>
      <w:r w:rsidRPr="00CC3582">
        <w:rPr>
          <w:rFonts w:ascii="Arial" w:eastAsia="Times New Roman" w:hAnsi="Arial" w:cs="Arial"/>
          <w:sz w:val="24"/>
          <w:szCs w:val="24"/>
          <w:lang w:val="en-US"/>
        </w:rPr>
        <w:t xml:space="preserve"> PCC [2</w:t>
      </w:r>
      <w:proofErr w:type="gramStart"/>
      <w:r w:rsidRPr="00CC3582">
        <w:rPr>
          <w:rFonts w:ascii="Arial" w:eastAsia="Times New Roman" w:hAnsi="Arial" w:cs="Arial"/>
          <w:sz w:val="24"/>
          <w:szCs w:val="24"/>
          <w:lang w:val="en-US"/>
        </w:rPr>
        <w:t>,3,4</w:t>
      </w:r>
      <w:proofErr w:type="gramEnd"/>
      <w:r w:rsidRPr="00CC3582">
        <w:rPr>
          <w:rFonts w:ascii="Arial" w:eastAsia="Times New Roman" w:hAnsi="Arial" w:cs="Arial"/>
          <w:sz w:val="24"/>
          <w:szCs w:val="24"/>
          <w:lang w:val="en-US"/>
        </w:rPr>
        <w:t>].</w:t>
      </w:r>
    </w:p>
    <w:p w:rsidR="00490EB5" w:rsidRPr="00CC3582" w:rsidRDefault="00490EB5" w:rsidP="00490EB5">
      <w:pPr>
        <w:spacing w:after="160" w:line="259" w:lineRule="auto"/>
        <w:ind w:firstLine="567"/>
        <w:jc w:val="both"/>
        <w:rPr>
          <w:rFonts w:ascii="Arial" w:eastAsia="Times New Roman" w:hAnsi="Arial" w:cs="Arial"/>
          <w:sz w:val="24"/>
          <w:szCs w:val="24"/>
          <w:lang w:val="en-US"/>
        </w:rPr>
      </w:pPr>
      <w:r w:rsidRPr="00CC3582">
        <w:rPr>
          <w:rFonts w:ascii="Arial" w:eastAsia="Times New Roman" w:hAnsi="Arial" w:cs="Arial"/>
          <w:b/>
          <w:sz w:val="24"/>
          <w:szCs w:val="24"/>
          <w:lang w:val="en-US"/>
        </w:rPr>
        <w:t>Homogeneous IVKAZ catalyst</w:t>
      </w:r>
      <w:r w:rsidRPr="00CC3582">
        <w:rPr>
          <w:rFonts w:ascii="Arial" w:eastAsia="Times New Roman" w:hAnsi="Arial" w:cs="Arial"/>
          <w:sz w:val="24"/>
          <w:szCs w:val="24"/>
          <w:lang w:val="en-US"/>
        </w:rPr>
        <w:t xml:space="preserve"> is a water-soluble cobalt </w:t>
      </w:r>
      <w:proofErr w:type="spellStart"/>
      <w:r w:rsidRPr="00CC3582">
        <w:rPr>
          <w:rFonts w:ascii="Arial" w:eastAsia="Times New Roman" w:hAnsi="Arial" w:cs="Arial"/>
          <w:sz w:val="24"/>
          <w:szCs w:val="24"/>
          <w:lang w:val="en-US"/>
        </w:rPr>
        <w:t>phthalocyanine</w:t>
      </w:r>
      <w:proofErr w:type="spellEnd"/>
      <w:r w:rsidRPr="00CC3582">
        <w:rPr>
          <w:rFonts w:ascii="Arial" w:eastAsia="Times New Roman" w:hAnsi="Arial" w:cs="Arial"/>
          <w:sz w:val="24"/>
          <w:szCs w:val="24"/>
          <w:lang w:val="en-US"/>
        </w:rPr>
        <w:t xml:space="preserve"> with a promoting additive. An advantage of homogeneous IVKAZ catalyst is high specific activity (consumption of the catalyst is 0.05 g per ton of the treated feed) and flexibility of its use. Use of the homogeneous catalyst allows not only to achieve deep regeneration of an alkaline solution but also to control the process by changing the catalyst dose and its concentration in the alkaline solution, depending on feed loading and </w:t>
      </w:r>
      <w:proofErr w:type="spellStart"/>
      <w:r w:rsidRPr="00CC3582">
        <w:rPr>
          <w:rFonts w:ascii="Arial" w:eastAsia="Times New Roman" w:hAnsi="Arial" w:cs="Arial"/>
          <w:sz w:val="24"/>
          <w:szCs w:val="24"/>
          <w:lang w:val="en-US"/>
        </w:rPr>
        <w:t>mercaptan</w:t>
      </w:r>
      <w:proofErr w:type="spellEnd"/>
      <w:r w:rsidRPr="00CC3582">
        <w:rPr>
          <w:rFonts w:ascii="Arial" w:eastAsia="Times New Roman" w:hAnsi="Arial" w:cs="Arial"/>
          <w:sz w:val="24"/>
          <w:szCs w:val="24"/>
          <w:lang w:val="en-US"/>
        </w:rPr>
        <w:t xml:space="preserve"> concentration in it.</w:t>
      </w:r>
    </w:p>
    <w:p w:rsidR="00490EB5" w:rsidRPr="00CC3582" w:rsidRDefault="00490EB5" w:rsidP="00490EB5">
      <w:pPr>
        <w:spacing w:after="160" w:line="259" w:lineRule="auto"/>
        <w:ind w:firstLine="567"/>
        <w:jc w:val="both"/>
        <w:rPr>
          <w:rFonts w:ascii="Arial" w:eastAsia="Times New Roman" w:hAnsi="Arial" w:cs="Arial"/>
          <w:sz w:val="24"/>
          <w:szCs w:val="24"/>
          <w:lang w:val="en-US"/>
        </w:rPr>
      </w:pPr>
      <w:r w:rsidRPr="00CC3582">
        <w:rPr>
          <w:rFonts w:ascii="Arial" w:eastAsia="Times New Roman" w:hAnsi="Arial" w:cs="Arial"/>
          <w:sz w:val="24"/>
          <w:szCs w:val="24"/>
          <w:lang w:val="en-US"/>
        </w:rPr>
        <w:t>Modern IVKAZ catalyst is stable in an alkaline medium up to 100°</w:t>
      </w:r>
      <w:r>
        <w:rPr>
          <w:rFonts w:ascii="Arial" w:eastAsia="Times New Roman" w:hAnsi="Arial" w:cs="Arial"/>
          <w:sz w:val="24"/>
          <w:szCs w:val="24"/>
          <w:lang w:val="en-US"/>
        </w:rPr>
        <w:t>C</w:t>
      </w:r>
      <w:r w:rsidRPr="00CC3582">
        <w:rPr>
          <w:rFonts w:ascii="Arial" w:eastAsia="Times New Roman" w:hAnsi="Arial" w:cs="Arial"/>
          <w:sz w:val="24"/>
          <w:szCs w:val="24"/>
          <w:lang w:val="en-US"/>
        </w:rPr>
        <w:t xml:space="preserve"> that is proved by successful operation of </w:t>
      </w:r>
      <w:r>
        <w:rPr>
          <w:rFonts w:ascii="Arial" w:eastAsia="Times New Roman" w:hAnsi="Arial" w:cs="Arial"/>
          <w:sz w:val="24"/>
          <w:szCs w:val="24"/>
          <w:lang w:val="en-US"/>
        </w:rPr>
        <w:t xml:space="preserve">40 </w:t>
      </w:r>
      <w:r w:rsidRPr="00CC3582">
        <w:rPr>
          <w:rFonts w:ascii="Arial" w:eastAsia="Times New Roman" w:hAnsi="Arial" w:cs="Arial"/>
          <w:sz w:val="24"/>
          <w:szCs w:val="24"/>
          <w:lang w:val="en-US"/>
        </w:rPr>
        <w:t xml:space="preserve">industrial DMD, DMC and </w:t>
      </w:r>
      <w:proofErr w:type="spellStart"/>
      <w:r w:rsidRPr="00CC3582">
        <w:rPr>
          <w:rFonts w:ascii="Arial" w:eastAsia="Times New Roman" w:hAnsi="Arial" w:cs="Arial"/>
          <w:sz w:val="24"/>
          <w:szCs w:val="24"/>
          <w:lang w:val="en-US"/>
        </w:rPr>
        <w:t>Serox</w:t>
      </w:r>
      <w:proofErr w:type="spellEnd"/>
      <w:r w:rsidRPr="00CC3582">
        <w:rPr>
          <w:rFonts w:ascii="Arial" w:eastAsia="Times New Roman" w:hAnsi="Arial" w:cs="Arial"/>
          <w:sz w:val="24"/>
          <w:szCs w:val="24"/>
          <w:lang w:val="en-US"/>
        </w:rPr>
        <w:t xml:space="preserve"> plants all over the world. It should be noted that leading UOP and </w:t>
      </w:r>
      <w:proofErr w:type="spellStart"/>
      <w:r w:rsidRPr="00CC3582">
        <w:rPr>
          <w:rFonts w:ascii="Arial" w:eastAsia="Times New Roman" w:hAnsi="Arial" w:cs="Arial"/>
          <w:sz w:val="24"/>
          <w:szCs w:val="24"/>
          <w:lang w:val="en-US"/>
        </w:rPr>
        <w:t>Merichem</w:t>
      </w:r>
      <w:proofErr w:type="spellEnd"/>
      <w:r w:rsidRPr="00CC3582">
        <w:rPr>
          <w:rFonts w:ascii="Arial" w:eastAsia="Times New Roman" w:hAnsi="Arial" w:cs="Arial"/>
          <w:sz w:val="24"/>
          <w:szCs w:val="24"/>
          <w:lang w:val="en-US"/>
        </w:rPr>
        <w:t xml:space="preserve"> companies, which have more than 3500 commercial plants of </w:t>
      </w:r>
      <w:proofErr w:type="spellStart"/>
      <w:r w:rsidRPr="00CC3582">
        <w:rPr>
          <w:rFonts w:ascii="Arial" w:eastAsia="Times New Roman" w:hAnsi="Arial" w:cs="Arial"/>
          <w:sz w:val="24"/>
          <w:szCs w:val="24"/>
          <w:lang w:val="en-US"/>
        </w:rPr>
        <w:t>Merox</w:t>
      </w:r>
      <w:proofErr w:type="spellEnd"/>
      <w:r w:rsidRPr="00CC3582">
        <w:rPr>
          <w:rFonts w:ascii="Arial" w:eastAsia="Times New Roman" w:hAnsi="Arial" w:cs="Arial"/>
          <w:sz w:val="24"/>
          <w:szCs w:val="24"/>
          <w:lang w:val="en-US"/>
        </w:rPr>
        <w:t xml:space="preserve"> type, use only homogeneous catalysts.</w:t>
      </w:r>
    </w:p>
    <w:p w:rsidR="00490EB5" w:rsidRPr="0066194E" w:rsidRDefault="00490EB5" w:rsidP="00490EB5">
      <w:pPr>
        <w:spacing w:after="160" w:line="259" w:lineRule="auto"/>
        <w:ind w:firstLine="567"/>
        <w:rPr>
          <w:rFonts w:ascii="Arial" w:eastAsia="Times New Roman" w:hAnsi="Arial" w:cs="Arial"/>
          <w:b/>
          <w:sz w:val="24"/>
          <w:szCs w:val="24"/>
          <w:lang w:val="en-US"/>
        </w:rPr>
      </w:pPr>
      <w:r w:rsidRPr="00CC3582">
        <w:rPr>
          <w:rFonts w:ascii="Arial" w:eastAsia="Times New Roman" w:hAnsi="Arial" w:cs="Arial"/>
          <w:b/>
          <w:sz w:val="24"/>
          <w:szCs w:val="24"/>
          <w:lang w:val="en-GB"/>
        </w:rPr>
        <w:t xml:space="preserve">  </w:t>
      </w:r>
    </w:p>
    <w:p w:rsidR="00490EB5" w:rsidRPr="00CC3582" w:rsidRDefault="00490EB5" w:rsidP="00490EB5">
      <w:pPr>
        <w:spacing w:after="160" w:line="259" w:lineRule="auto"/>
        <w:ind w:firstLine="567"/>
        <w:rPr>
          <w:rFonts w:ascii="Arial" w:eastAsia="Times New Roman" w:hAnsi="Arial" w:cs="Arial"/>
          <w:sz w:val="24"/>
          <w:szCs w:val="24"/>
        </w:rPr>
      </w:pPr>
      <w:r w:rsidRPr="00CC3582">
        <w:rPr>
          <w:rFonts w:ascii="Arial" w:eastAsia="Times New Roman" w:hAnsi="Arial" w:cs="Arial"/>
          <w:b/>
          <w:sz w:val="24"/>
          <w:szCs w:val="24"/>
          <w:lang w:val="en-GB"/>
        </w:rPr>
        <w:t xml:space="preserve"> </w:t>
      </w:r>
      <w:proofErr w:type="spellStart"/>
      <w:r w:rsidRPr="00CC3582">
        <w:rPr>
          <w:rFonts w:ascii="Arial" w:eastAsia="Times New Roman" w:hAnsi="Arial" w:cs="Arial"/>
          <w:b/>
          <w:sz w:val="24"/>
          <w:szCs w:val="24"/>
        </w:rPr>
        <w:t>References</w:t>
      </w:r>
      <w:proofErr w:type="spellEnd"/>
      <w:r w:rsidRPr="00CC3582">
        <w:rPr>
          <w:rFonts w:ascii="Arial" w:eastAsia="Times New Roman" w:hAnsi="Arial" w:cs="Arial"/>
          <w:b/>
          <w:sz w:val="24"/>
          <w:szCs w:val="24"/>
        </w:rPr>
        <w:t>:</w:t>
      </w:r>
    </w:p>
    <w:p w:rsidR="00490EB5" w:rsidRPr="00FC3589" w:rsidRDefault="00490EB5" w:rsidP="00490EB5">
      <w:pPr>
        <w:pStyle w:val="a3"/>
        <w:numPr>
          <w:ilvl w:val="0"/>
          <w:numId w:val="1"/>
        </w:numPr>
        <w:tabs>
          <w:tab w:val="left" w:pos="426"/>
          <w:tab w:val="left" w:pos="720"/>
        </w:tabs>
        <w:spacing w:after="160" w:line="259" w:lineRule="auto"/>
        <w:ind w:hanging="294"/>
        <w:rPr>
          <w:rFonts w:ascii="Arial" w:eastAsia="Times New Roman" w:hAnsi="Arial" w:cs="Arial"/>
          <w:sz w:val="24"/>
          <w:szCs w:val="24"/>
        </w:rPr>
      </w:pPr>
      <w:proofErr w:type="spellStart"/>
      <w:r w:rsidRPr="00FC3589">
        <w:rPr>
          <w:rFonts w:ascii="Arial" w:eastAsia="Times New Roman" w:hAnsi="Arial" w:cs="Arial"/>
          <w:sz w:val="24"/>
          <w:szCs w:val="24"/>
        </w:rPr>
        <w:t>A.M.Mazgarov</w:t>
      </w:r>
      <w:proofErr w:type="spellEnd"/>
      <w:r w:rsidRPr="00FC3589">
        <w:rPr>
          <w:rFonts w:ascii="Arial" w:eastAsia="Times New Roman" w:hAnsi="Arial" w:cs="Arial"/>
          <w:sz w:val="24"/>
          <w:szCs w:val="24"/>
        </w:rPr>
        <w:t xml:space="preserve">, A.G. </w:t>
      </w:r>
      <w:proofErr w:type="spellStart"/>
      <w:r w:rsidRPr="00FC3589">
        <w:rPr>
          <w:rFonts w:ascii="Arial" w:eastAsia="Times New Roman" w:hAnsi="Arial" w:cs="Arial"/>
          <w:sz w:val="24"/>
          <w:szCs w:val="24"/>
        </w:rPr>
        <w:t>Akhmadullina</w:t>
      </w:r>
      <w:proofErr w:type="spellEnd"/>
      <w:r w:rsidRPr="00FC3589">
        <w:rPr>
          <w:rFonts w:ascii="Arial" w:eastAsia="Times New Roman" w:hAnsi="Arial" w:cs="Arial"/>
          <w:sz w:val="24"/>
          <w:szCs w:val="24"/>
        </w:rPr>
        <w:t xml:space="preserve">, M.K. </w:t>
      </w:r>
      <w:proofErr w:type="spellStart"/>
      <w:r w:rsidRPr="00FC3589">
        <w:rPr>
          <w:rFonts w:ascii="Arial" w:eastAsia="Times New Roman" w:hAnsi="Arial" w:cs="Arial"/>
          <w:sz w:val="24"/>
          <w:szCs w:val="24"/>
        </w:rPr>
        <w:t>Alyanov</w:t>
      </w:r>
      <w:proofErr w:type="spellEnd"/>
      <w:r w:rsidRPr="00FC3589">
        <w:rPr>
          <w:rFonts w:ascii="Arial" w:eastAsia="Times New Roman" w:hAnsi="Arial" w:cs="Arial"/>
          <w:sz w:val="24"/>
          <w:szCs w:val="24"/>
        </w:rPr>
        <w:t xml:space="preserve">, V.V. </w:t>
      </w:r>
      <w:proofErr w:type="spellStart"/>
      <w:r w:rsidRPr="00FC3589">
        <w:rPr>
          <w:rFonts w:ascii="Arial" w:eastAsia="Times New Roman" w:hAnsi="Arial" w:cs="Arial"/>
          <w:sz w:val="24"/>
          <w:szCs w:val="24"/>
        </w:rPr>
        <w:t>Kolacheva</w:t>
      </w:r>
      <w:proofErr w:type="spellEnd"/>
      <w:r w:rsidRPr="00FC3589">
        <w:rPr>
          <w:rFonts w:ascii="Arial" w:eastAsia="Times New Roman" w:hAnsi="Arial" w:cs="Arial"/>
          <w:sz w:val="24"/>
          <w:szCs w:val="24"/>
        </w:rPr>
        <w:t xml:space="preserve">, </w:t>
      </w:r>
      <w:proofErr w:type="spellStart"/>
      <w:r w:rsidRPr="00FC3589">
        <w:rPr>
          <w:rFonts w:ascii="Arial" w:eastAsia="Times New Roman" w:hAnsi="Arial" w:cs="Arial"/>
          <w:sz w:val="24"/>
          <w:szCs w:val="24"/>
        </w:rPr>
        <w:t>A.F.Vildanov</w:t>
      </w:r>
      <w:proofErr w:type="spellEnd"/>
      <w:r w:rsidRPr="00FC3589">
        <w:rPr>
          <w:rFonts w:ascii="Arial" w:eastAsia="Times New Roman" w:hAnsi="Arial" w:cs="Arial"/>
          <w:sz w:val="24"/>
          <w:szCs w:val="24"/>
        </w:rPr>
        <w:t xml:space="preserve">, </w:t>
      </w:r>
      <w:proofErr w:type="spellStart"/>
      <w:r w:rsidRPr="00FC3589">
        <w:rPr>
          <w:rFonts w:ascii="Arial" w:eastAsia="Times New Roman" w:hAnsi="Arial" w:cs="Arial"/>
          <w:sz w:val="24"/>
          <w:szCs w:val="24"/>
        </w:rPr>
        <w:t>et</w:t>
      </w:r>
      <w:proofErr w:type="spellEnd"/>
      <w:r w:rsidRPr="00FC3589">
        <w:rPr>
          <w:rFonts w:ascii="Arial" w:eastAsia="Times New Roman" w:hAnsi="Arial" w:cs="Arial"/>
          <w:sz w:val="24"/>
          <w:szCs w:val="24"/>
        </w:rPr>
        <w:t xml:space="preserve">. </w:t>
      </w:r>
      <w:proofErr w:type="spellStart"/>
      <w:r w:rsidRPr="00FC3589">
        <w:rPr>
          <w:rFonts w:ascii="Arial" w:eastAsia="Times New Roman" w:hAnsi="Arial" w:cs="Arial"/>
          <w:sz w:val="24"/>
          <w:szCs w:val="24"/>
        </w:rPr>
        <w:t>al</w:t>
      </w:r>
      <w:proofErr w:type="spellEnd"/>
      <w:r w:rsidRPr="00FC3589">
        <w:rPr>
          <w:rFonts w:ascii="Arial" w:eastAsia="Times New Roman" w:hAnsi="Arial" w:cs="Arial"/>
          <w:sz w:val="24"/>
          <w:szCs w:val="24"/>
        </w:rPr>
        <w:t xml:space="preserve">. / </w:t>
      </w:r>
      <w:proofErr w:type="spellStart"/>
      <w:r w:rsidRPr="00FC3589">
        <w:rPr>
          <w:rFonts w:ascii="Arial" w:eastAsia="Times New Roman" w:hAnsi="Arial" w:cs="Arial"/>
          <w:sz w:val="24"/>
          <w:szCs w:val="24"/>
        </w:rPr>
        <w:t>А.с</w:t>
      </w:r>
      <w:proofErr w:type="spellEnd"/>
      <w:r w:rsidRPr="00FC3589">
        <w:rPr>
          <w:rFonts w:ascii="Arial" w:eastAsia="Times New Roman" w:hAnsi="Arial" w:cs="Arial"/>
          <w:sz w:val="24"/>
          <w:szCs w:val="24"/>
        </w:rPr>
        <w:t>. 1041142 (USSR) / B.I. 16.05.1983.</w:t>
      </w:r>
    </w:p>
    <w:p w:rsidR="00490EB5" w:rsidRPr="00CC3582" w:rsidRDefault="00490EB5" w:rsidP="00490EB5">
      <w:pPr>
        <w:numPr>
          <w:ilvl w:val="0"/>
          <w:numId w:val="1"/>
        </w:numPr>
        <w:tabs>
          <w:tab w:val="left" w:pos="720"/>
        </w:tabs>
        <w:spacing w:after="160" w:line="259" w:lineRule="auto"/>
        <w:ind w:left="720" w:hanging="294"/>
        <w:rPr>
          <w:rFonts w:ascii="Arial" w:eastAsia="Times New Roman" w:hAnsi="Arial" w:cs="Arial"/>
          <w:sz w:val="24"/>
          <w:szCs w:val="24"/>
          <w:lang w:val="en-US"/>
        </w:rPr>
      </w:pPr>
      <w:r w:rsidRPr="00CC3582">
        <w:rPr>
          <w:rFonts w:ascii="Arial" w:eastAsia="Times New Roman" w:hAnsi="Arial" w:cs="Arial"/>
          <w:sz w:val="24"/>
          <w:szCs w:val="24"/>
          <w:lang w:val="en-US"/>
        </w:rPr>
        <w:t xml:space="preserve">A.G. </w:t>
      </w:r>
      <w:proofErr w:type="spellStart"/>
      <w:r w:rsidRPr="00CC3582">
        <w:rPr>
          <w:rFonts w:ascii="Arial" w:eastAsia="Times New Roman" w:hAnsi="Arial" w:cs="Arial"/>
          <w:sz w:val="24"/>
          <w:szCs w:val="24"/>
          <w:lang w:val="en-US"/>
        </w:rPr>
        <w:t>Akhmadullina</w:t>
      </w:r>
      <w:proofErr w:type="spellEnd"/>
      <w:r w:rsidRPr="00CC3582">
        <w:rPr>
          <w:rFonts w:ascii="Arial" w:eastAsia="Times New Roman" w:hAnsi="Arial" w:cs="Arial"/>
          <w:sz w:val="24"/>
          <w:szCs w:val="24"/>
          <w:lang w:val="en-US"/>
        </w:rPr>
        <w:t xml:space="preserve">, V.M. </w:t>
      </w:r>
      <w:proofErr w:type="spellStart"/>
      <w:r w:rsidRPr="00CC3582">
        <w:rPr>
          <w:rFonts w:ascii="Arial" w:eastAsia="Times New Roman" w:hAnsi="Arial" w:cs="Arial"/>
          <w:sz w:val="24"/>
          <w:szCs w:val="24"/>
          <w:lang w:val="en-US"/>
        </w:rPr>
        <w:t>Akhmadullin</w:t>
      </w:r>
      <w:proofErr w:type="spellEnd"/>
      <w:r w:rsidRPr="00CC3582">
        <w:rPr>
          <w:rFonts w:ascii="Arial" w:eastAsia="Times New Roman" w:hAnsi="Arial" w:cs="Arial"/>
          <w:sz w:val="24"/>
          <w:szCs w:val="24"/>
          <w:lang w:val="en-US"/>
        </w:rPr>
        <w:t xml:space="preserve">, </w:t>
      </w:r>
      <w:proofErr w:type="spellStart"/>
      <w:r w:rsidRPr="00CC3582">
        <w:rPr>
          <w:rFonts w:ascii="Arial" w:eastAsia="Times New Roman" w:hAnsi="Arial" w:cs="Arial"/>
          <w:sz w:val="24"/>
          <w:szCs w:val="24"/>
          <w:lang w:val="en-US"/>
        </w:rPr>
        <w:t>V.A.Smirnov</w:t>
      </w:r>
      <w:proofErr w:type="spellEnd"/>
      <w:r w:rsidRPr="00CC3582">
        <w:rPr>
          <w:rFonts w:ascii="Arial" w:eastAsia="Times New Roman" w:hAnsi="Arial" w:cs="Arial"/>
          <w:sz w:val="24"/>
          <w:szCs w:val="24"/>
          <w:lang w:val="en-US"/>
        </w:rPr>
        <w:t xml:space="preserve">, et.al </w:t>
      </w:r>
      <w:r w:rsidRPr="00CC3582">
        <w:rPr>
          <w:rFonts w:ascii="Arial" w:eastAsia="Times New Roman" w:hAnsi="Arial" w:cs="Arial"/>
          <w:sz w:val="24"/>
          <w:szCs w:val="24"/>
          <w:lang w:val="en-GB"/>
        </w:rPr>
        <w:t>/</w:t>
      </w:r>
      <w:r w:rsidRPr="00CC3582">
        <w:rPr>
          <w:rFonts w:ascii="Arial" w:eastAsia="Times New Roman" w:hAnsi="Arial" w:cs="Arial"/>
          <w:sz w:val="24"/>
          <w:szCs w:val="24"/>
          <w:lang w:val="en-US"/>
        </w:rPr>
        <w:t xml:space="preserve"> «</w:t>
      </w:r>
      <w:proofErr w:type="spellStart"/>
      <w:r w:rsidRPr="00CC3582">
        <w:rPr>
          <w:rFonts w:ascii="Arial" w:eastAsia="Times New Roman" w:hAnsi="Arial" w:cs="Arial"/>
          <w:sz w:val="24"/>
          <w:szCs w:val="24"/>
          <w:lang w:val="en-US"/>
        </w:rPr>
        <w:t>Neftepererabotka</w:t>
      </w:r>
      <w:proofErr w:type="spellEnd"/>
      <w:r w:rsidRPr="00CC3582">
        <w:rPr>
          <w:rFonts w:ascii="Arial" w:eastAsia="Times New Roman" w:hAnsi="Arial" w:cs="Arial"/>
          <w:sz w:val="24"/>
          <w:szCs w:val="24"/>
          <w:lang w:val="en-US"/>
        </w:rPr>
        <w:t xml:space="preserve"> </w:t>
      </w:r>
      <w:proofErr w:type="spellStart"/>
      <w:r w:rsidRPr="00CC3582">
        <w:rPr>
          <w:rFonts w:ascii="Arial" w:eastAsia="Times New Roman" w:hAnsi="Arial" w:cs="Arial"/>
          <w:sz w:val="24"/>
          <w:szCs w:val="24"/>
          <w:lang w:val="en-US"/>
        </w:rPr>
        <w:t>i</w:t>
      </w:r>
      <w:proofErr w:type="spellEnd"/>
      <w:r w:rsidRPr="00CC3582">
        <w:rPr>
          <w:rFonts w:ascii="Arial" w:eastAsia="Times New Roman" w:hAnsi="Arial" w:cs="Arial"/>
          <w:sz w:val="24"/>
          <w:szCs w:val="24"/>
          <w:lang w:val="en-US"/>
        </w:rPr>
        <w:t xml:space="preserve"> </w:t>
      </w:r>
      <w:proofErr w:type="spellStart"/>
      <w:r w:rsidRPr="00CC3582">
        <w:rPr>
          <w:rFonts w:ascii="Arial" w:eastAsia="Times New Roman" w:hAnsi="Arial" w:cs="Arial"/>
          <w:sz w:val="24"/>
          <w:szCs w:val="24"/>
          <w:lang w:val="en-US"/>
        </w:rPr>
        <w:t>neftekhimia</w:t>
      </w:r>
      <w:proofErr w:type="spellEnd"/>
      <w:r w:rsidRPr="00CC3582">
        <w:rPr>
          <w:rFonts w:ascii="Arial" w:eastAsia="Times New Roman" w:hAnsi="Arial" w:cs="Arial"/>
          <w:sz w:val="24"/>
          <w:szCs w:val="24"/>
          <w:lang w:val="en-US"/>
        </w:rPr>
        <w:t xml:space="preserve">» No.3. 2005. </w:t>
      </w:r>
      <w:r w:rsidRPr="00CC3582">
        <w:rPr>
          <w:rFonts w:ascii="Arial" w:eastAsia="Times New Roman" w:hAnsi="Arial" w:cs="Arial"/>
          <w:sz w:val="24"/>
          <w:szCs w:val="24"/>
          <w:lang w:val="en-GB"/>
        </w:rPr>
        <w:t>P</w:t>
      </w:r>
      <w:r>
        <w:rPr>
          <w:rFonts w:ascii="Arial" w:eastAsia="Times New Roman" w:hAnsi="Arial" w:cs="Arial"/>
          <w:sz w:val="24"/>
          <w:szCs w:val="24"/>
          <w:lang w:val="en-GB"/>
        </w:rPr>
        <w:t>p.</w:t>
      </w:r>
      <w:r w:rsidRPr="00CC3582">
        <w:rPr>
          <w:rFonts w:ascii="Arial" w:eastAsia="Times New Roman" w:hAnsi="Arial" w:cs="Arial"/>
          <w:sz w:val="24"/>
          <w:szCs w:val="24"/>
          <w:lang w:val="en-US"/>
        </w:rPr>
        <w:t xml:space="preserve"> 15-17.</w:t>
      </w:r>
    </w:p>
    <w:p w:rsidR="00490EB5" w:rsidRPr="00CC3582" w:rsidRDefault="00490EB5" w:rsidP="00490EB5">
      <w:pPr>
        <w:numPr>
          <w:ilvl w:val="0"/>
          <w:numId w:val="1"/>
        </w:numPr>
        <w:tabs>
          <w:tab w:val="left" w:pos="720"/>
        </w:tabs>
        <w:spacing w:after="160" w:line="259" w:lineRule="auto"/>
        <w:ind w:left="720" w:hanging="294"/>
        <w:rPr>
          <w:rFonts w:ascii="Arial" w:eastAsia="Times New Roman" w:hAnsi="Arial" w:cs="Arial"/>
          <w:sz w:val="24"/>
          <w:szCs w:val="24"/>
          <w:lang w:val="en-US"/>
        </w:rPr>
      </w:pPr>
      <w:proofErr w:type="spellStart"/>
      <w:r w:rsidRPr="00CC3582">
        <w:rPr>
          <w:rFonts w:ascii="Arial" w:eastAsia="Times New Roman" w:hAnsi="Arial" w:cs="Arial"/>
          <w:sz w:val="24"/>
          <w:szCs w:val="24"/>
          <w:lang w:val="en-US"/>
        </w:rPr>
        <w:t>A.F.Vildanov</w:t>
      </w:r>
      <w:proofErr w:type="spellEnd"/>
      <w:r w:rsidRPr="00CC3582">
        <w:rPr>
          <w:rFonts w:ascii="Arial" w:eastAsia="Times New Roman" w:hAnsi="Arial" w:cs="Arial"/>
          <w:sz w:val="24"/>
          <w:szCs w:val="24"/>
          <w:lang w:val="en-US"/>
        </w:rPr>
        <w:t xml:space="preserve">, </w:t>
      </w:r>
      <w:proofErr w:type="spellStart"/>
      <w:r w:rsidRPr="00CC3582">
        <w:rPr>
          <w:rFonts w:ascii="Arial" w:eastAsia="Times New Roman" w:hAnsi="Arial" w:cs="Arial"/>
          <w:sz w:val="24"/>
          <w:szCs w:val="24"/>
          <w:lang w:val="en-US"/>
        </w:rPr>
        <w:t>N.G.Bazhirova</w:t>
      </w:r>
      <w:proofErr w:type="spellEnd"/>
      <w:r w:rsidRPr="00CC3582">
        <w:rPr>
          <w:rFonts w:ascii="Arial" w:eastAsia="Times New Roman" w:hAnsi="Arial" w:cs="Arial"/>
          <w:sz w:val="24"/>
          <w:szCs w:val="24"/>
          <w:lang w:val="en-US"/>
        </w:rPr>
        <w:t xml:space="preserve">, </w:t>
      </w:r>
      <w:proofErr w:type="spellStart"/>
      <w:r w:rsidRPr="00CC3582">
        <w:rPr>
          <w:rFonts w:ascii="Arial" w:eastAsia="Times New Roman" w:hAnsi="Arial" w:cs="Arial"/>
          <w:sz w:val="24"/>
          <w:szCs w:val="24"/>
          <w:lang w:val="en-US"/>
        </w:rPr>
        <w:t>A.M.Mazgarov</w:t>
      </w:r>
      <w:proofErr w:type="spellEnd"/>
      <w:r w:rsidRPr="00CC3582">
        <w:rPr>
          <w:rFonts w:ascii="Arial" w:eastAsia="Times New Roman" w:hAnsi="Arial" w:cs="Arial"/>
          <w:sz w:val="24"/>
          <w:szCs w:val="24"/>
          <w:lang w:val="en-US"/>
        </w:rPr>
        <w:t xml:space="preserve">, </w:t>
      </w:r>
      <w:proofErr w:type="gramStart"/>
      <w:r w:rsidRPr="00CC3582">
        <w:rPr>
          <w:rFonts w:ascii="Arial" w:eastAsia="Times New Roman" w:hAnsi="Arial" w:cs="Arial"/>
          <w:sz w:val="24"/>
          <w:szCs w:val="24"/>
          <w:lang w:val="en-US"/>
        </w:rPr>
        <w:t>et</w:t>
      </w:r>
      <w:proofErr w:type="gramEnd"/>
      <w:r w:rsidRPr="00CC3582">
        <w:rPr>
          <w:rFonts w:ascii="Arial" w:eastAsia="Times New Roman" w:hAnsi="Arial" w:cs="Arial"/>
          <w:sz w:val="24"/>
          <w:szCs w:val="24"/>
          <w:lang w:val="en-US"/>
        </w:rPr>
        <w:t xml:space="preserve">. al. </w:t>
      </w:r>
      <w:r w:rsidRPr="00CC3582">
        <w:rPr>
          <w:rFonts w:ascii="Arial" w:eastAsia="Times New Roman" w:hAnsi="Arial" w:cs="Arial"/>
          <w:sz w:val="24"/>
          <w:szCs w:val="24"/>
          <w:lang w:val="en-GB"/>
        </w:rPr>
        <w:t>/</w:t>
      </w:r>
      <w:r w:rsidRPr="00CC3582">
        <w:rPr>
          <w:rFonts w:ascii="Arial" w:eastAsia="Times New Roman" w:hAnsi="Arial" w:cs="Arial"/>
          <w:sz w:val="24"/>
          <w:szCs w:val="24"/>
          <w:lang w:val="en-US"/>
        </w:rPr>
        <w:t xml:space="preserve"> HTTM.  2013. No. 3. </w:t>
      </w:r>
      <w:r>
        <w:rPr>
          <w:rFonts w:ascii="Arial" w:eastAsia="Times New Roman" w:hAnsi="Arial" w:cs="Arial"/>
          <w:sz w:val="24"/>
          <w:szCs w:val="24"/>
          <w:lang w:val="en-GB"/>
        </w:rPr>
        <w:t xml:space="preserve">                    </w:t>
      </w:r>
      <w:r w:rsidRPr="00CC3582">
        <w:rPr>
          <w:rFonts w:ascii="Arial" w:eastAsia="Times New Roman" w:hAnsi="Arial" w:cs="Arial"/>
          <w:sz w:val="24"/>
          <w:szCs w:val="24"/>
          <w:lang w:val="en-GB"/>
        </w:rPr>
        <w:t>P</w:t>
      </w:r>
      <w:r>
        <w:rPr>
          <w:rFonts w:ascii="Arial" w:eastAsia="Times New Roman" w:hAnsi="Arial" w:cs="Arial"/>
          <w:sz w:val="24"/>
          <w:szCs w:val="24"/>
          <w:lang w:val="en-GB"/>
        </w:rPr>
        <w:t>p.</w:t>
      </w:r>
      <w:r w:rsidRPr="00CC3582">
        <w:rPr>
          <w:rFonts w:ascii="Arial" w:eastAsia="Times New Roman" w:hAnsi="Arial" w:cs="Arial"/>
          <w:sz w:val="24"/>
          <w:szCs w:val="24"/>
          <w:lang w:val="en-US"/>
        </w:rPr>
        <w:t xml:space="preserve"> 13-16.</w:t>
      </w:r>
    </w:p>
    <w:p w:rsidR="00490EB5" w:rsidRPr="003C6841" w:rsidRDefault="00490EB5" w:rsidP="00490EB5">
      <w:pPr>
        <w:numPr>
          <w:ilvl w:val="0"/>
          <w:numId w:val="1"/>
        </w:numPr>
        <w:tabs>
          <w:tab w:val="left" w:pos="426"/>
        </w:tabs>
        <w:spacing w:after="160" w:line="259" w:lineRule="auto"/>
        <w:ind w:left="720" w:hanging="294"/>
        <w:rPr>
          <w:rFonts w:ascii="Arial" w:eastAsia="Times New Roman" w:hAnsi="Arial" w:cs="Arial"/>
          <w:sz w:val="24"/>
          <w:szCs w:val="24"/>
          <w:lang w:val="en-US"/>
        </w:rPr>
      </w:pPr>
      <w:proofErr w:type="spellStart"/>
      <w:r w:rsidRPr="00CC3582">
        <w:rPr>
          <w:rFonts w:ascii="Arial" w:eastAsia="Times New Roman" w:hAnsi="Arial" w:cs="Arial"/>
          <w:sz w:val="24"/>
          <w:szCs w:val="24"/>
          <w:lang w:val="en-US"/>
        </w:rPr>
        <w:t>F.A.Korobkov</w:t>
      </w:r>
      <w:proofErr w:type="spellEnd"/>
      <w:r w:rsidRPr="00CC3582">
        <w:rPr>
          <w:rFonts w:ascii="Arial" w:eastAsia="Times New Roman" w:hAnsi="Arial" w:cs="Arial"/>
          <w:sz w:val="24"/>
          <w:szCs w:val="24"/>
          <w:lang w:val="en-US"/>
        </w:rPr>
        <w:t xml:space="preserve">, </w:t>
      </w:r>
      <w:proofErr w:type="spellStart"/>
      <w:r w:rsidRPr="00CC3582">
        <w:rPr>
          <w:rFonts w:ascii="Arial" w:eastAsia="Times New Roman" w:hAnsi="Arial" w:cs="Arial"/>
          <w:sz w:val="24"/>
          <w:szCs w:val="24"/>
          <w:lang w:val="en-US"/>
        </w:rPr>
        <w:t>A.M.Mazgarov</w:t>
      </w:r>
      <w:proofErr w:type="spellEnd"/>
      <w:r w:rsidRPr="00CC3582">
        <w:rPr>
          <w:rFonts w:ascii="Arial" w:eastAsia="Times New Roman" w:hAnsi="Arial" w:cs="Arial"/>
          <w:sz w:val="24"/>
          <w:szCs w:val="24"/>
          <w:lang w:val="en-US"/>
        </w:rPr>
        <w:t>, R.</w:t>
      </w:r>
      <w:r>
        <w:rPr>
          <w:rFonts w:ascii="Arial" w:eastAsia="Times New Roman" w:hAnsi="Arial" w:cs="Arial"/>
          <w:sz w:val="24"/>
          <w:szCs w:val="24"/>
          <w:lang w:val="en-GB"/>
        </w:rPr>
        <w:t>G</w:t>
      </w:r>
      <w:r w:rsidRPr="00CC3582">
        <w:rPr>
          <w:rFonts w:ascii="Arial" w:eastAsia="Times New Roman" w:hAnsi="Arial" w:cs="Arial"/>
          <w:sz w:val="24"/>
          <w:szCs w:val="24"/>
          <w:lang w:val="en-US"/>
        </w:rPr>
        <w:t>.</w:t>
      </w:r>
      <w:proofErr w:type="spellStart"/>
      <w:r w:rsidRPr="00CC3582">
        <w:rPr>
          <w:rFonts w:ascii="Arial" w:eastAsia="Times New Roman" w:hAnsi="Arial" w:cs="Arial"/>
          <w:sz w:val="24"/>
          <w:szCs w:val="24"/>
          <w:lang w:val="en-US"/>
        </w:rPr>
        <w:t>Shakirzyanov</w:t>
      </w:r>
      <w:proofErr w:type="spellEnd"/>
      <w:r w:rsidRPr="00CC3582">
        <w:rPr>
          <w:rFonts w:ascii="Arial" w:eastAsia="Times New Roman" w:hAnsi="Arial" w:cs="Arial"/>
          <w:sz w:val="24"/>
          <w:szCs w:val="24"/>
          <w:lang w:val="en-US"/>
        </w:rPr>
        <w:t xml:space="preserve">, </w:t>
      </w:r>
      <w:proofErr w:type="spellStart"/>
      <w:r w:rsidRPr="00CC3582">
        <w:rPr>
          <w:rFonts w:ascii="Arial" w:eastAsia="Times New Roman" w:hAnsi="Arial" w:cs="Arial"/>
          <w:sz w:val="24"/>
          <w:szCs w:val="24"/>
          <w:lang w:val="en-US"/>
        </w:rPr>
        <w:t>B.S.Strelchik</w:t>
      </w:r>
      <w:proofErr w:type="spellEnd"/>
      <w:r w:rsidRPr="00CC3582">
        <w:rPr>
          <w:rFonts w:ascii="Arial" w:eastAsia="Times New Roman" w:hAnsi="Arial" w:cs="Arial"/>
          <w:sz w:val="24"/>
          <w:szCs w:val="24"/>
          <w:lang w:val="en-US"/>
        </w:rPr>
        <w:t xml:space="preserve">, </w:t>
      </w:r>
      <w:r w:rsidRPr="00CC3582">
        <w:rPr>
          <w:rFonts w:ascii="Arial" w:eastAsia="Times New Roman" w:hAnsi="Arial" w:cs="Arial"/>
          <w:sz w:val="24"/>
          <w:szCs w:val="24"/>
        </w:rPr>
        <w:t>А</w:t>
      </w:r>
      <w:r w:rsidRPr="00CC3582">
        <w:rPr>
          <w:rFonts w:ascii="Arial" w:eastAsia="Times New Roman" w:hAnsi="Arial" w:cs="Arial"/>
          <w:sz w:val="24"/>
          <w:szCs w:val="24"/>
          <w:lang w:val="en-US"/>
        </w:rPr>
        <w:t>.</w:t>
      </w:r>
      <w:r w:rsidRPr="00CC3582">
        <w:rPr>
          <w:rFonts w:ascii="Arial" w:eastAsia="Times New Roman" w:hAnsi="Arial" w:cs="Arial"/>
          <w:sz w:val="24"/>
          <w:szCs w:val="24"/>
        </w:rPr>
        <w:t>А</w:t>
      </w:r>
      <w:r w:rsidRPr="00CC3582">
        <w:rPr>
          <w:rFonts w:ascii="Arial" w:eastAsia="Times New Roman" w:hAnsi="Arial" w:cs="Arial"/>
          <w:sz w:val="24"/>
          <w:szCs w:val="24"/>
          <w:lang w:val="en-US"/>
        </w:rPr>
        <w:t xml:space="preserve">. </w:t>
      </w:r>
      <w:proofErr w:type="spellStart"/>
      <w:r w:rsidRPr="00CC3582">
        <w:rPr>
          <w:rFonts w:ascii="Arial" w:eastAsia="Times New Roman" w:hAnsi="Arial" w:cs="Arial"/>
          <w:sz w:val="24"/>
          <w:szCs w:val="24"/>
          <w:lang w:val="en-US"/>
        </w:rPr>
        <w:t>Nikulin</w:t>
      </w:r>
      <w:proofErr w:type="spellEnd"/>
      <w:r w:rsidRPr="00CC3582">
        <w:rPr>
          <w:rFonts w:ascii="Arial" w:eastAsia="Times New Roman" w:hAnsi="Arial" w:cs="Arial"/>
          <w:sz w:val="24"/>
          <w:szCs w:val="24"/>
          <w:lang w:val="en-US"/>
        </w:rPr>
        <w:t xml:space="preserve">, </w:t>
      </w:r>
      <w:proofErr w:type="spellStart"/>
      <w:r w:rsidRPr="00CC3582">
        <w:rPr>
          <w:rFonts w:ascii="Arial" w:eastAsia="Times New Roman" w:hAnsi="Arial" w:cs="Arial"/>
          <w:sz w:val="24"/>
          <w:szCs w:val="24"/>
          <w:lang w:val="en-US"/>
        </w:rPr>
        <w:t>O.V.Nazarov</w:t>
      </w:r>
      <w:proofErr w:type="spellEnd"/>
      <w:r w:rsidRPr="00CC3582">
        <w:rPr>
          <w:rFonts w:ascii="Arial" w:eastAsia="Times New Roman" w:hAnsi="Arial" w:cs="Arial"/>
          <w:sz w:val="24"/>
          <w:szCs w:val="24"/>
          <w:lang w:val="en-US"/>
        </w:rPr>
        <w:t>, N.</w:t>
      </w:r>
      <w:r w:rsidRPr="00CC3582">
        <w:rPr>
          <w:rFonts w:ascii="Arial" w:eastAsia="Times New Roman" w:hAnsi="Arial" w:cs="Arial"/>
          <w:sz w:val="24"/>
          <w:szCs w:val="24"/>
        </w:rPr>
        <w:t>О</w:t>
      </w:r>
      <w:r w:rsidRPr="00CC3582">
        <w:rPr>
          <w:rFonts w:ascii="Arial" w:eastAsia="Times New Roman" w:hAnsi="Arial" w:cs="Arial"/>
          <w:sz w:val="24"/>
          <w:szCs w:val="24"/>
          <w:lang w:val="en-US"/>
        </w:rPr>
        <w:t xml:space="preserve">. </w:t>
      </w:r>
      <w:proofErr w:type="spellStart"/>
      <w:r>
        <w:rPr>
          <w:rFonts w:ascii="Arial" w:eastAsia="Times New Roman" w:hAnsi="Arial" w:cs="Arial"/>
          <w:sz w:val="24"/>
          <w:szCs w:val="24"/>
          <w:lang w:val="en-US"/>
        </w:rPr>
        <w:t>Voronin</w:t>
      </w:r>
      <w:proofErr w:type="spellEnd"/>
      <w:r>
        <w:rPr>
          <w:rFonts w:ascii="Arial" w:eastAsia="Times New Roman" w:hAnsi="Arial" w:cs="Arial"/>
          <w:sz w:val="24"/>
          <w:szCs w:val="24"/>
          <w:lang w:val="en-US"/>
        </w:rPr>
        <w:t xml:space="preserve"> / HTTM. 2003. No.5. Pp.</w:t>
      </w:r>
      <w:r w:rsidRPr="00CC3582">
        <w:rPr>
          <w:rFonts w:ascii="Arial" w:eastAsia="Times New Roman" w:hAnsi="Arial" w:cs="Arial"/>
          <w:sz w:val="24"/>
          <w:szCs w:val="24"/>
          <w:lang w:val="en-US"/>
        </w:rPr>
        <w:t xml:space="preserve"> </w:t>
      </w:r>
      <w:r w:rsidRPr="003C6841">
        <w:rPr>
          <w:rFonts w:ascii="Arial" w:eastAsia="Times New Roman" w:hAnsi="Arial" w:cs="Arial"/>
          <w:sz w:val="24"/>
          <w:szCs w:val="24"/>
          <w:lang w:val="en-US"/>
        </w:rPr>
        <w:t>7-10.</w:t>
      </w:r>
    </w:p>
    <w:p w:rsidR="00437F0F" w:rsidRDefault="00437F0F"/>
    <w:sectPr w:rsidR="00437F0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A47C09"/>
    <w:multiLevelType w:val="multilevel"/>
    <w:tmpl w:val="E7321818"/>
    <w:lvl w:ilvl="0">
      <w:start w:val="1"/>
      <w:numFmt w:val="decimal"/>
      <w:lvlText w:val="%1."/>
      <w:lvlJc w:val="left"/>
      <w:rPr>
        <w:rFonts w:ascii="Arial" w:eastAsia="Times New Roman" w:hAnsi="Arial" w:cs="Aria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7"/>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68EE"/>
    <w:rsid w:val="00437F0F"/>
    <w:rsid w:val="00490EB5"/>
    <w:rsid w:val="007B68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0EB5"/>
    <w:pPr>
      <w:spacing w:after="0" w:line="240" w:lineRule="auto"/>
      <w:ind w:firstLine="709"/>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90EB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0EB5"/>
    <w:pPr>
      <w:spacing w:after="0" w:line="240" w:lineRule="auto"/>
      <w:ind w:firstLine="709"/>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90EB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oleObject" Target="embeddings/oleObject1.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595</Words>
  <Characters>3395</Characters>
  <Application>Microsoft Office Word</Application>
  <DocSecurity>0</DocSecurity>
  <Lines>28</Lines>
  <Paragraphs>7</Paragraphs>
  <ScaleCrop>false</ScaleCrop>
  <Company/>
  <LinksUpToDate>false</LinksUpToDate>
  <CharactersWithSpaces>3983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cp:revision>
  <dcterms:created xsi:type="dcterms:W3CDTF">2019-12-11T09:38:00Z</dcterms:created>
  <dcterms:modified xsi:type="dcterms:W3CDTF">2019-12-11T09:39:00Z</dcterms:modified>
</cp:coreProperties>
</file>